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A5379">
      <w:pPr>
        <w:widowControl/>
        <w:spacing w:after="120" w:line="312" w:lineRule="auto"/>
        <w:jc w:val="center"/>
        <w:rPr>
          <w:rFonts w:hint="eastAsia" w:eastAsia="黑体"/>
          <w:kern w:val="0"/>
          <w:sz w:val="28"/>
          <w:szCs w:val="28"/>
          <w:lang w:val="en-US" w:eastAsia="zh-CN"/>
        </w:rPr>
      </w:pPr>
      <w:bookmarkStart w:id="0" w:name="_Toc43379920"/>
      <w:r>
        <w:rPr>
          <w:rFonts w:eastAsia="黑体"/>
          <w:sz w:val="28"/>
          <w:szCs w:val="28"/>
        </w:rPr>
        <w:t>炉温跟踪仪温度示值误差测量不确定度评定</w:t>
      </w:r>
      <w:bookmarkEnd w:id="0"/>
      <w:r>
        <w:rPr>
          <w:rFonts w:hint="eastAsia" w:eastAsia="黑体"/>
          <w:sz w:val="28"/>
          <w:szCs w:val="28"/>
          <w:lang w:val="en-US" w:eastAsia="zh-CN"/>
        </w:rPr>
        <w:t>报告</w:t>
      </w:r>
      <w:bookmarkStart w:id="1" w:name="_GoBack"/>
      <w:bookmarkEnd w:id="1"/>
    </w:p>
    <w:p w14:paraId="542119A7">
      <w:pPr>
        <w:spacing w:line="288" w:lineRule="auto"/>
        <w:rPr>
          <w:sz w:val="24"/>
        </w:rPr>
      </w:pPr>
      <w:r>
        <w:rPr>
          <w:sz w:val="24"/>
        </w:rPr>
        <w:t>1 测量概述</w:t>
      </w:r>
    </w:p>
    <w:p w14:paraId="14E20D90">
      <w:pPr>
        <w:spacing w:line="288" w:lineRule="auto"/>
        <w:rPr>
          <w:sz w:val="24"/>
        </w:rPr>
      </w:pPr>
      <w:r>
        <w:rPr>
          <w:sz w:val="24"/>
        </w:rPr>
        <w:t>1.1被校对象</w:t>
      </w:r>
    </w:p>
    <w:p w14:paraId="3F2F046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炉温跟踪仪（温度传感器为K型热电偶），显示分辨力为0.1℃。</w:t>
      </w:r>
    </w:p>
    <w:p w14:paraId="09C810DA">
      <w:pPr>
        <w:spacing w:line="288" w:lineRule="auto"/>
        <w:rPr>
          <w:sz w:val="24"/>
        </w:rPr>
      </w:pPr>
      <w:r>
        <w:rPr>
          <w:sz w:val="24"/>
        </w:rPr>
        <w:t>1.2 测量标准及其他设备</w:t>
      </w:r>
    </w:p>
    <w:p w14:paraId="5B3B283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见表1。</w:t>
      </w:r>
    </w:p>
    <w:p w14:paraId="07831948">
      <w:pPr>
        <w:spacing w:line="360" w:lineRule="auto"/>
        <w:jc w:val="center"/>
        <w:rPr>
          <w:sz w:val="24"/>
        </w:rPr>
      </w:pPr>
      <w:r>
        <w:rPr>
          <w:rFonts w:eastAsia="黑体"/>
        </w:rPr>
        <w:t>表1测量标准及其他设备</w:t>
      </w:r>
    </w:p>
    <w:tbl>
      <w:tblPr>
        <w:tblStyle w:val="15"/>
        <w:tblW w:w="898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15"/>
        <w:gridCol w:w="4111"/>
        <w:gridCol w:w="2835"/>
      </w:tblGrid>
      <w:tr w14:paraId="20E9C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D9B5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序号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C938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设备名称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4436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技术要求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A004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用途</w:t>
            </w:r>
          </w:p>
        </w:tc>
      </w:tr>
      <w:tr w14:paraId="70388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DFE2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B0BF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标准铂铑10-铂热热电偶及配套电测设备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78DC7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1.标准铂铑10-铂热热电偶一等；测量范围：（300~1300）℃;</w:t>
            </w:r>
          </w:p>
          <w:p w14:paraId="7416CCDA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2.吉时利2010，量程（0~100）mV，最大允许误差：±（37×10</w:t>
            </w:r>
            <w:r>
              <w:rPr>
                <w:kern w:val="0"/>
                <w:szCs w:val="21"/>
                <w:vertAlign w:val="superscript"/>
              </w:rPr>
              <w:t>-6</w:t>
            </w:r>
            <w:r>
              <w:rPr>
                <w:kern w:val="0"/>
                <w:szCs w:val="21"/>
              </w:rPr>
              <w:t>×读数+9×10</w:t>
            </w:r>
            <w:r>
              <w:rPr>
                <w:kern w:val="0"/>
                <w:szCs w:val="21"/>
                <w:vertAlign w:val="superscript"/>
              </w:rPr>
              <w:t>-6</w:t>
            </w:r>
            <w:r>
              <w:rPr>
                <w:kern w:val="0"/>
                <w:szCs w:val="21"/>
              </w:rPr>
              <w:t>×量程）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DC4E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标准器</w:t>
            </w:r>
          </w:p>
        </w:tc>
      </w:tr>
      <w:tr w14:paraId="0B1A8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8834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24DD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冰点恒温器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0BFF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最大允许偏差：±0.1℃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0593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为标准铂铑10-铂热电偶参考端提供0℃恒温场</w:t>
            </w:r>
          </w:p>
        </w:tc>
      </w:tr>
      <w:tr w14:paraId="4F4B5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F9B0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A863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热电偶检定炉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B30A4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配置均温块的恒温设备，温度范围满足校准的要求；热电偶插入均温块的深度与孔径之比大于10:1；从孔底算起轴向30 mm内温差不大于0.5℃；孔底同一截面任意孔间的温差绝对值不大于0.25℃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5BC7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温度源</w:t>
            </w:r>
          </w:p>
        </w:tc>
      </w:tr>
    </w:tbl>
    <w:p w14:paraId="192664FF">
      <w:pPr>
        <w:spacing w:line="288" w:lineRule="auto"/>
        <w:rPr>
          <w:sz w:val="24"/>
        </w:rPr>
      </w:pPr>
      <w:r>
        <w:rPr>
          <w:sz w:val="24"/>
        </w:rPr>
        <w:t>1.3 校准方法</w:t>
      </w:r>
    </w:p>
    <w:p w14:paraId="70FD4D7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按照本规范规定方法进行操作，当测量标准示值偏离校准点±5℃以内，温度变化每分钟不超过0.2℃时，开始读数，在每一校准点的完整读数过程中，温度变化不得超过0.5℃。测量标准铂铑10-铂热电偶的热电动势值并记录炉温跟踪仪通道显示值。</w:t>
      </w:r>
    </w:p>
    <w:p w14:paraId="4091F5B2">
      <w:pPr>
        <w:spacing w:line="288" w:lineRule="auto"/>
        <w:rPr>
          <w:sz w:val="24"/>
        </w:rPr>
      </w:pPr>
      <w:r>
        <w:rPr>
          <w:sz w:val="24"/>
        </w:rPr>
        <w:t>2测量模型</w:t>
      </w:r>
    </w:p>
    <w:p w14:paraId="3A8B864E">
      <w:pPr>
        <w:pStyle w:val="37"/>
      </w:pPr>
      <w:r>
        <w:rPr>
          <w:rFonts w:hint="eastAsia"/>
          <w:position w:val="-32"/>
        </w:rPr>
        <w:t xml:space="preserve">                             </w:t>
      </w:r>
      <w:r>
        <w:rPr>
          <w:position w:val="-32"/>
        </w:rPr>
        <w:object>
          <v:shape id="_x0000_i1025" o:spt="75" type="#_x0000_t75" style="height:37.5pt;width:139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/>
          <w:position w:val="-32"/>
        </w:rPr>
        <w:t xml:space="preserve">                 </w:t>
      </w:r>
      <w:r>
        <w:rPr>
          <w:sz w:val="24"/>
        </w:rPr>
        <w:t>（1）</w:t>
      </w:r>
    </w:p>
    <w:p w14:paraId="15AC339B">
      <w:pPr>
        <w:pStyle w:val="37"/>
        <w:jc w:val="both"/>
        <w:rPr>
          <w:sz w:val="24"/>
        </w:rPr>
      </w:pPr>
      <w:r>
        <w:rPr>
          <w:sz w:val="24"/>
        </w:rPr>
        <w:t>式中：</w:t>
      </w:r>
    </w:p>
    <w:p w14:paraId="0A448FE9">
      <w:pPr>
        <w:pStyle w:val="37"/>
        <w:jc w:val="both"/>
        <w:rPr>
          <w:sz w:val="24"/>
        </w:rPr>
      </w:pPr>
      <w:r>
        <w:rPr>
          <w:position w:val="-12"/>
        </w:rPr>
        <w:object>
          <v:shape id="_x0000_i1026" o:spt="75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sz w:val="24"/>
        </w:rPr>
        <w:t>——在某工况温度某温度校准点上，炉温跟踪仪第</w:t>
      </w:r>
      <w:r>
        <w:rPr>
          <w:i/>
          <w:sz w:val="24"/>
        </w:rPr>
        <w:t>i</w:t>
      </w:r>
      <w:r>
        <w:rPr>
          <w:sz w:val="24"/>
        </w:rPr>
        <w:t>通道的温度示值误差，℃；</w:t>
      </w:r>
    </w:p>
    <w:p w14:paraId="0351A5E1">
      <w:pPr>
        <w:pStyle w:val="37"/>
        <w:jc w:val="both"/>
        <w:rPr>
          <w:sz w:val="24"/>
        </w:rPr>
      </w:pPr>
      <w:r>
        <w:rPr>
          <w:position w:val="-12"/>
        </w:rPr>
        <w:object>
          <v:shape id="_x0000_i1027" o:spt="75" type="#_x0000_t75" style="height:18pt;width:10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sz w:val="24"/>
        </w:rPr>
        <w:t>——在某工况温度某温度校准点上，炉温跟踪仪第</w:t>
      </w:r>
      <w:r>
        <w:rPr>
          <w:i/>
          <w:sz w:val="24"/>
        </w:rPr>
        <w:t>i</w:t>
      </w:r>
      <w:r>
        <w:rPr>
          <w:sz w:val="24"/>
        </w:rPr>
        <w:t>通道4次读数的平均值，℃；</w:t>
      </w:r>
    </w:p>
    <w:p w14:paraId="6E55601C">
      <w:r>
        <w:rPr>
          <w:position w:val="-12"/>
        </w:rPr>
        <w:object>
          <v:shape id="_x0000_i1028" o:spt="75" type="#_x0000_t75" style="height:18pt;width:1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sz w:val="24"/>
        </w:rPr>
        <w:t>——在某工况温度某温度校准点上，标准实际值，℃；</w:t>
      </w:r>
    </w:p>
    <w:p w14:paraId="5C54F4EE">
      <w:pPr>
        <w:spacing w:line="360" w:lineRule="auto"/>
        <w:rPr>
          <w:sz w:val="24"/>
        </w:rPr>
      </w:pPr>
      <w:r>
        <w:rPr>
          <w:position w:val="-6"/>
        </w:rPr>
        <w:object>
          <v:shape id="_x0000_i1029" o:spt="75" type="#_x0000_t75" style="height:12.75pt;width:7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sz w:val="24"/>
        </w:rPr>
        <w:t>——名义校准温度，℃；</w:t>
      </w:r>
    </w:p>
    <w:p w14:paraId="42452873">
      <w:pPr>
        <w:spacing w:line="360" w:lineRule="auto"/>
        <w:rPr>
          <w:sz w:val="24"/>
        </w:rPr>
      </w:pPr>
      <w:r>
        <w:rPr>
          <w:position w:val="-14"/>
        </w:rPr>
        <w:object>
          <v:shape id="_x0000_i1030" o:spt="75" type="#_x0000_t75" style="height:19.5pt;width:37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sz w:val="24"/>
        </w:rPr>
        <w:t>——标准热电偶证书上温度</w:t>
      </w:r>
      <w:r>
        <w:rPr>
          <w:i/>
          <w:sz w:val="24"/>
        </w:rPr>
        <w:t>t</w:t>
      </w:r>
      <w:r>
        <w:rPr>
          <w:sz w:val="24"/>
        </w:rPr>
        <w:t>时的热电动势值，mV；</w:t>
      </w:r>
    </w:p>
    <w:p w14:paraId="722DA362">
      <w:pPr>
        <w:spacing w:line="360" w:lineRule="auto"/>
        <w:rPr>
          <w:sz w:val="24"/>
        </w:rPr>
      </w:pPr>
      <w:r>
        <w:rPr>
          <w:position w:val="-14"/>
        </w:rPr>
        <w:object>
          <v:shape id="_x0000_i1031" o:spt="75" type="#_x0000_t75" style="height:19.5pt;width:4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sz w:val="24"/>
        </w:rPr>
        <w:t>——标准热电偶测得的热电动势11次读数平均值，mV；</w:t>
      </w:r>
    </w:p>
    <w:p w14:paraId="5BE1DE1C">
      <w:pPr>
        <w:spacing w:line="360" w:lineRule="auto"/>
        <w:rPr>
          <w:sz w:val="24"/>
        </w:rPr>
      </w:pPr>
      <w:r>
        <w:rPr>
          <w:position w:val="-14"/>
        </w:rPr>
        <w:object>
          <v:shape id="_x0000_i1032" o:spt="75" type="#_x0000_t75" style="height:19.5pt;width:3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sz w:val="24"/>
        </w:rPr>
        <w:t>——标准热电偶在</w:t>
      </w:r>
      <w:r>
        <w:rPr>
          <w:i/>
          <w:sz w:val="24"/>
        </w:rPr>
        <w:t>t</w:t>
      </w:r>
      <w:r>
        <w:rPr>
          <w:sz w:val="24"/>
        </w:rPr>
        <w:t>校准点的微分热电动势，μV/℃。</w:t>
      </w:r>
    </w:p>
    <w:p w14:paraId="0312CD97">
      <w:pPr>
        <w:spacing w:line="360" w:lineRule="auto"/>
        <w:rPr>
          <w:sz w:val="24"/>
        </w:rPr>
      </w:pPr>
      <w:r>
        <w:rPr>
          <w:sz w:val="24"/>
        </w:rPr>
        <w:t>合成标准不确定度</w:t>
      </w:r>
      <w:r>
        <w:rPr>
          <w:i/>
          <w:sz w:val="24"/>
        </w:rPr>
        <w:t>u</w:t>
      </w:r>
      <w:r>
        <w:rPr>
          <w:i/>
          <w:sz w:val="24"/>
          <w:vertAlign w:val="subscript"/>
        </w:rPr>
        <w:t>c</w:t>
      </w:r>
      <w:r>
        <w:rPr>
          <w:sz w:val="24"/>
        </w:rPr>
        <w:t>：</w:t>
      </w:r>
    </w:p>
    <w:p w14:paraId="0365BF2C">
      <w:pPr>
        <w:pStyle w:val="37"/>
        <w:wordWrap w:val="0"/>
        <w:ind w:right="720"/>
      </w:pPr>
      <w:r>
        <w:rPr>
          <w:rFonts w:hint="eastAsia"/>
          <w:position w:val="-18"/>
        </w:rPr>
        <w:t xml:space="preserve">                          </w:t>
      </w:r>
      <w:r>
        <w:rPr>
          <w:position w:val="-18"/>
        </w:rPr>
        <w:object>
          <v:shape id="_x0000_i1033" o:spt="75" type="#_x0000_t75" style="height:25.5pt;width:240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eastAsia"/>
          <w:position w:val="-18"/>
        </w:rPr>
        <w:t xml:space="preserve">    </w:t>
      </w:r>
      <w:r>
        <w:rPr>
          <w:sz w:val="24"/>
        </w:rPr>
        <w:t>（2）</w:t>
      </w:r>
    </w:p>
    <w:p w14:paraId="7163BFFE">
      <w:pPr>
        <w:spacing w:line="360" w:lineRule="auto"/>
        <w:rPr>
          <w:sz w:val="24"/>
        </w:rPr>
      </w:pPr>
      <w:r>
        <w:rPr>
          <w:sz w:val="24"/>
        </w:rPr>
        <w:t>其中灵敏系数：</w:t>
      </w:r>
    </w:p>
    <w:p w14:paraId="1AC96F46">
      <w:pPr>
        <w:pStyle w:val="37"/>
      </w:pPr>
      <w:r>
        <w:rPr>
          <w:position w:val="-12"/>
        </w:rPr>
        <w:object>
          <v:shape id="_x0000_i1034" o:spt="75" type="#_x0000_t75" style="height:18pt;width:79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t>；</w:t>
      </w:r>
      <w:r>
        <w:rPr>
          <w:position w:val="-14"/>
        </w:rPr>
        <w:object>
          <v:shape id="_x0000_i1035" o:spt="75" type="#_x0000_t75" style="height:19.5pt;width:145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t>；</w:t>
      </w:r>
      <w:r>
        <w:rPr>
          <w:position w:val="-14"/>
        </w:rPr>
        <w:object>
          <v:shape id="_x0000_i1036" o:spt="75" type="#_x0000_t75" style="height:19.5pt;width:151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</w:p>
    <w:p w14:paraId="3CBE8C4C">
      <w:pPr>
        <w:spacing w:line="288" w:lineRule="auto"/>
        <w:rPr>
          <w:sz w:val="24"/>
        </w:rPr>
      </w:pPr>
      <w:r>
        <w:rPr>
          <w:sz w:val="24"/>
        </w:rPr>
        <w:t>3输入量标准不确定度评定</w:t>
      </w:r>
    </w:p>
    <w:p w14:paraId="75191E77">
      <w:pPr>
        <w:spacing w:line="520" w:lineRule="exact"/>
        <w:ind w:firstLine="480" w:firstLineChars="200"/>
        <w:rPr>
          <w:sz w:val="32"/>
        </w:rPr>
      </w:pPr>
      <w:r>
        <w:rPr>
          <w:sz w:val="24"/>
        </w:rPr>
        <w:t>输入量</w:t>
      </w:r>
      <w:r>
        <w:rPr>
          <w:position w:val="-12"/>
        </w:rPr>
        <w:object>
          <v:shape id="_x0000_i1037" o:spt="75" type="#_x0000_t75" style="height:18pt;width:10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sz w:val="24"/>
        </w:rPr>
        <w:t>标准不确定度</w:t>
      </w:r>
      <w:r>
        <w:rPr>
          <w:position w:val="-14"/>
          <w:szCs w:val="21"/>
        </w:rPr>
        <w:object>
          <v:shape id="_x0000_i1038" o:spt="75" type="#_x0000_t75" style="height:19.5pt;width:26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sz w:val="24"/>
        </w:rPr>
        <w:t>包括炉温跟踪仪测量重复性引入的不确定度</w:t>
      </w:r>
      <w:r>
        <w:rPr>
          <w:position w:val="-12"/>
        </w:rPr>
        <w:object>
          <v:shape id="_x0000_i1039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sz w:val="24"/>
        </w:rPr>
        <w:t>和炉温跟踪仪分辨力引入的不确定度</w:t>
      </w:r>
      <w:r>
        <w:rPr>
          <w:position w:val="-12"/>
        </w:rPr>
        <w:object>
          <v:shape id="_x0000_i1040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sz w:val="24"/>
        </w:rPr>
        <w:t>，炉内金属均温块径向温场不均匀性引入的不确定度</w:t>
      </w:r>
      <w:r>
        <w:rPr>
          <w:position w:val="-12"/>
        </w:rPr>
        <w:object>
          <v:shape id="_x0000_i1041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sz w:val="24"/>
        </w:rPr>
        <w:t>和炉温波动引入的不确定度</w:t>
      </w:r>
      <w:r>
        <w:rPr>
          <w:position w:val="-12"/>
        </w:rPr>
        <w:object>
          <v:shape id="_x0000_i1042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t>。</w:t>
      </w:r>
    </w:p>
    <w:p w14:paraId="5FB2B9C8">
      <w:pPr>
        <w:spacing w:line="520" w:lineRule="exact"/>
        <w:ind w:firstLine="480" w:firstLineChars="200"/>
      </w:pPr>
      <w:r>
        <w:rPr>
          <w:sz w:val="24"/>
        </w:rPr>
        <w:t>输入量</w:t>
      </w:r>
      <w:r>
        <w:rPr>
          <w:position w:val="-14"/>
        </w:rPr>
        <w:object>
          <v:shape id="_x0000_i1043" o:spt="75" type="#_x0000_t75" style="height:19.5pt;width:37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sz w:val="24"/>
        </w:rPr>
        <w:t>标准不确定度</w:t>
      </w:r>
      <w:r>
        <w:rPr>
          <w:position w:val="-16"/>
        </w:rPr>
        <w:object>
          <v:shape id="_x0000_i1044" o:spt="75" type="#_x0000_t75" style="height:22.5pt;width:56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sz w:val="24"/>
        </w:rPr>
        <w:t>包括标准铂铑10-铂热电偶检定结果引入的不确定度</w:t>
      </w:r>
      <w:r>
        <w:rPr>
          <w:position w:val="-12"/>
        </w:rPr>
        <w:object>
          <v:shape id="_x0000_i1045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sz w:val="24"/>
        </w:rPr>
        <w:t>和标准铂铑10-铂热电偶的年稳定性</w:t>
      </w:r>
      <w:r>
        <w:rPr>
          <w:position w:val="-12"/>
        </w:rPr>
        <w:object>
          <v:shape id="_x0000_i1046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t>。</w:t>
      </w:r>
    </w:p>
    <w:p w14:paraId="668E25EA">
      <w:pPr>
        <w:spacing w:line="520" w:lineRule="exact"/>
        <w:ind w:firstLine="480" w:firstLineChars="200"/>
        <w:rPr>
          <w:sz w:val="24"/>
        </w:rPr>
      </w:pPr>
      <w:r>
        <w:rPr>
          <w:sz w:val="24"/>
        </w:rPr>
        <w:t>输入量</w:t>
      </w:r>
      <w:r>
        <w:rPr>
          <w:position w:val="-14"/>
        </w:rPr>
        <w:object>
          <v:shape id="_x0000_i1047" o:spt="75" type="#_x0000_t75" style="height:19.5pt;width:31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sz w:val="24"/>
        </w:rPr>
        <w:t>引入的标准不确定度</w:t>
      </w:r>
      <w:r>
        <w:rPr>
          <w:position w:val="-16"/>
        </w:rPr>
        <w:object>
          <v:shape id="_x0000_i1048" o:spt="75" type="#_x0000_t75" style="height:22.5pt;width:49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sz w:val="24"/>
        </w:rPr>
        <w:t>包括标准铂铑10-铂热电偶重复测量引入的不确定度</w:t>
      </w:r>
      <w:r>
        <w:rPr>
          <w:position w:val="-12"/>
        </w:rPr>
        <w:object>
          <v:shape id="_x0000_i1049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sz w:val="24"/>
        </w:rPr>
        <w:t>、电测仪表测量误差引入的不确定度</w:t>
      </w:r>
      <w:r>
        <w:rPr>
          <w:position w:val="-12"/>
        </w:rPr>
        <w:object>
          <v:shape id="_x0000_i1050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sz w:val="24"/>
        </w:rPr>
        <w:t>、转换开关读数寄生热电势引入的不确定度</w:t>
      </w:r>
      <w:r>
        <w:rPr>
          <w:position w:val="-12"/>
        </w:rPr>
        <w:object>
          <v:shape id="_x0000_i1051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sz w:val="24"/>
        </w:rPr>
        <w:t>和热电偶参考端温度不均匀引入的不确定度</w:t>
      </w:r>
      <w:r>
        <w:rPr>
          <w:position w:val="-12"/>
        </w:rPr>
        <w:object>
          <v:shape id="_x0000_i1052" o:spt="75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sz w:val="24"/>
        </w:rPr>
        <w:t>。</w:t>
      </w:r>
    </w:p>
    <w:p w14:paraId="7651704D">
      <w:pPr>
        <w:spacing w:line="520" w:lineRule="exact"/>
        <w:ind w:firstLine="480" w:firstLineChars="200"/>
      </w:pPr>
      <w:r>
        <w:rPr>
          <w:sz w:val="24"/>
        </w:rPr>
        <w:t>标准不确定度分量及来源见表 2。</w:t>
      </w:r>
    </w:p>
    <w:p w14:paraId="2D4E2233">
      <w:pPr>
        <w:spacing w:line="360" w:lineRule="auto"/>
        <w:jc w:val="center"/>
        <w:rPr>
          <w:sz w:val="24"/>
        </w:rPr>
      </w:pPr>
      <w:r>
        <w:rPr>
          <w:rFonts w:eastAsia="黑体"/>
        </w:rPr>
        <w:t>表2标准不确定度分量及来源</w:t>
      </w:r>
    </w:p>
    <w:tbl>
      <w:tblPr>
        <w:tblStyle w:val="15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219"/>
        <w:gridCol w:w="5498"/>
      </w:tblGrid>
      <w:tr w14:paraId="64F90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  <w:noWrap/>
            <w:vAlign w:val="center"/>
          </w:tcPr>
          <w:p w14:paraId="2982CB7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输入量</w:t>
            </w:r>
          </w:p>
        </w:tc>
        <w:tc>
          <w:tcPr>
            <w:tcW w:w="2219" w:type="dxa"/>
            <w:noWrap/>
            <w:vAlign w:val="center"/>
          </w:tcPr>
          <w:p w14:paraId="19C4F61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符号</w:t>
            </w:r>
          </w:p>
        </w:tc>
        <w:tc>
          <w:tcPr>
            <w:tcW w:w="5498" w:type="dxa"/>
            <w:noWrap/>
            <w:vAlign w:val="center"/>
          </w:tcPr>
          <w:p w14:paraId="3420AF7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不确定度来源</w:t>
            </w:r>
          </w:p>
        </w:tc>
      </w:tr>
      <w:tr w14:paraId="70E8C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183" w:type="dxa"/>
            <w:vMerge w:val="restart"/>
            <w:noWrap/>
            <w:vAlign w:val="center"/>
          </w:tcPr>
          <w:p w14:paraId="3FE411F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53" o:spt="75" type="#_x0000_t75" style="height:16.5pt;width:10.5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59">
                  <o:LockedField>false</o:LockedField>
                </o:OLEObject>
              </w:object>
            </w:r>
          </w:p>
        </w:tc>
        <w:tc>
          <w:tcPr>
            <w:tcW w:w="2219" w:type="dxa"/>
            <w:vMerge w:val="restart"/>
            <w:noWrap/>
            <w:vAlign w:val="center"/>
          </w:tcPr>
          <w:p w14:paraId="2B92581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54" o:spt="75" type="#_x0000_t75" style="height:16.5pt;width:24pt;" o:ole="t" filled="f" o:preferrelative="t" stroked="f" coordsize="21600,21600">
                  <v:path/>
                  <v:fill on="f" focussize="0,0"/>
                  <v:stroke on="f" joinstyle="miter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1">
                  <o:LockedField>false</o:LockedField>
                </o:OLEObject>
              </w:object>
            </w:r>
          </w:p>
        </w:tc>
        <w:tc>
          <w:tcPr>
            <w:tcW w:w="5498" w:type="dxa"/>
            <w:noWrap/>
            <w:vAlign w:val="center"/>
          </w:tcPr>
          <w:p w14:paraId="284B6ED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炉温跟踪仪测量重复性引入的不确定度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1</w:t>
            </w:r>
          </w:p>
        </w:tc>
      </w:tr>
      <w:tr w14:paraId="76B1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83" w:type="dxa"/>
            <w:vMerge w:val="continue"/>
            <w:noWrap/>
            <w:vAlign w:val="center"/>
          </w:tcPr>
          <w:p w14:paraId="2C27C25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19" w:type="dxa"/>
            <w:vMerge w:val="continue"/>
            <w:noWrap/>
            <w:vAlign w:val="center"/>
          </w:tcPr>
          <w:p w14:paraId="0C5668E2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5498" w:type="dxa"/>
            <w:noWrap/>
            <w:vAlign w:val="center"/>
          </w:tcPr>
          <w:p w14:paraId="6A025634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炉温跟踪仪分辨力引入的不确定度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2</w:t>
            </w:r>
          </w:p>
        </w:tc>
      </w:tr>
      <w:tr w14:paraId="77EF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83" w:type="dxa"/>
            <w:vMerge w:val="continue"/>
            <w:noWrap/>
            <w:vAlign w:val="center"/>
          </w:tcPr>
          <w:p w14:paraId="24DA8900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19" w:type="dxa"/>
            <w:vMerge w:val="continue"/>
            <w:noWrap/>
            <w:vAlign w:val="center"/>
          </w:tcPr>
          <w:p w14:paraId="6EC6825D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5498" w:type="dxa"/>
            <w:noWrap/>
            <w:vAlign w:val="center"/>
          </w:tcPr>
          <w:p w14:paraId="508420EC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炉内金属均温块径向温场不均匀性引入的不确定度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3</w:t>
            </w:r>
          </w:p>
        </w:tc>
      </w:tr>
      <w:tr w14:paraId="6EFB8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83" w:type="dxa"/>
            <w:vMerge w:val="continue"/>
            <w:noWrap/>
            <w:vAlign w:val="center"/>
          </w:tcPr>
          <w:p w14:paraId="461A007D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19" w:type="dxa"/>
            <w:vMerge w:val="continue"/>
            <w:noWrap/>
            <w:vAlign w:val="center"/>
          </w:tcPr>
          <w:p w14:paraId="6E91A0E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5498" w:type="dxa"/>
            <w:noWrap/>
            <w:vAlign w:val="center"/>
          </w:tcPr>
          <w:p w14:paraId="63D7F5BF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炉温波动引入的不确定度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4</w:t>
            </w:r>
          </w:p>
        </w:tc>
      </w:tr>
      <w:tr w14:paraId="36023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1183" w:type="dxa"/>
            <w:vMerge w:val="restart"/>
            <w:noWrap/>
            <w:vAlign w:val="center"/>
          </w:tcPr>
          <w:p w14:paraId="41E5C53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2"/>
              </w:rPr>
              <w:object>
                <v:shape id="_x0000_i1055" o:spt="75" type="#_x0000_t75" style="height:16.5pt;width:34.5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3">
                  <o:LockedField>false</o:LockedField>
                </o:OLEObject>
              </w:object>
            </w:r>
          </w:p>
        </w:tc>
        <w:tc>
          <w:tcPr>
            <w:tcW w:w="2219" w:type="dxa"/>
            <w:vMerge w:val="restart"/>
            <w:vAlign w:val="center"/>
          </w:tcPr>
          <w:p w14:paraId="26CBF97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4"/>
              </w:rPr>
              <w:object>
                <v:shape id="_x0000_i1056" o:spt="75" type="#_x0000_t75" style="height:19.5pt;width:49.5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65">
                  <o:LockedField>false</o:LockedField>
                </o:OLEObject>
              </w:object>
            </w:r>
          </w:p>
        </w:tc>
        <w:tc>
          <w:tcPr>
            <w:tcW w:w="5498" w:type="dxa"/>
            <w:noWrap/>
            <w:vAlign w:val="center"/>
          </w:tcPr>
          <w:p w14:paraId="7A2D46CE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标准铂铑10-铂热电偶检定结果引入的不确定度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5</w:t>
            </w:r>
          </w:p>
        </w:tc>
      </w:tr>
      <w:tr w14:paraId="527F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  <w:vMerge w:val="continue"/>
            <w:noWrap/>
            <w:vAlign w:val="center"/>
          </w:tcPr>
          <w:p w14:paraId="0DE2B1F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19" w:type="dxa"/>
            <w:vMerge w:val="continue"/>
            <w:vAlign w:val="center"/>
          </w:tcPr>
          <w:p w14:paraId="4CD1B90D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5498" w:type="dxa"/>
            <w:noWrap/>
            <w:vAlign w:val="center"/>
          </w:tcPr>
          <w:p w14:paraId="24B518A4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szCs w:val="21"/>
              </w:rPr>
              <w:t>标准铂铑10-铂热电偶的年稳定性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6</w:t>
            </w:r>
          </w:p>
        </w:tc>
      </w:tr>
      <w:tr w14:paraId="00FCA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  <w:vMerge w:val="restart"/>
            <w:noWrap/>
            <w:vAlign w:val="center"/>
          </w:tcPr>
          <w:p w14:paraId="71417D4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2"/>
              </w:rPr>
              <w:object>
                <v:shape id="_x0000_i1057" o:spt="75" type="#_x0000_t75" style="height:16.5pt;width:28.5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67">
                  <o:LockedField>false</o:LockedField>
                </o:OLEObject>
              </w:object>
            </w:r>
          </w:p>
        </w:tc>
        <w:tc>
          <w:tcPr>
            <w:tcW w:w="2219" w:type="dxa"/>
            <w:vMerge w:val="restart"/>
            <w:vAlign w:val="center"/>
          </w:tcPr>
          <w:p w14:paraId="786F41D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4"/>
              </w:rPr>
              <w:object>
                <v:shape id="_x0000_i1058" o:spt="75" type="#_x0000_t75" style="height:19.5pt;width:43.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69">
                  <o:LockedField>false</o:LockedField>
                </o:OLEObject>
              </w:object>
            </w:r>
          </w:p>
        </w:tc>
        <w:tc>
          <w:tcPr>
            <w:tcW w:w="5498" w:type="dxa"/>
            <w:noWrap/>
            <w:vAlign w:val="center"/>
          </w:tcPr>
          <w:p w14:paraId="5F3EA2E9">
            <w:pPr>
              <w:widowControl/>
              <w:rPr>
                <w:kern w:val="0"/>
                <w:szCs w:val="21"/>
              </w:rPr>
            </w:pPr>
            <w:r>
              <w:rPr>
                <w:szCs w:val="21"/>
              </w:rPr>
              <w:t>标准铂铑10-铂热电偶重复测量引入的不确定度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7</w:t>
            </w:r>
          </w:p>
        </w:tc>
      </w:tr>
      <w:tr w14:paraId="0D6D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  <w:vMerge w:val="continue"/>
            <w:noWrap/>
            <w:vAlign w:val="center"/>
          </w:tcPr>
          <w:p w14:paraId="778F3EC0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19" w:type="dxa"/>
            <w:vMerge w:val="continue"/>
            <w:vAlign w:val="center"/>
          </w:tcPr>
          <w:p w14:paraId="4D67346D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5498" w:type="dxa"/>
            <w:noWrap/>
            <w:vAlign w:val="center"/>
          </w:tcPr>
          <w:p w14:paraId="0B53158A">
            <w:pPr>
              <w:widowControl/>
              <w:rPr>
                <w:kern w:val="0"/>
                <w:szCs w:val="21"/>
              </w:rPr>
            </w:pPr>
            <w:r>
              <w:rPr>
                <w:szCs w:val="21"/>
              </w:rPr>
              <w:t>电测仪表测量误差引入的不确定度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8</w:t>
            </w:r>
          </w:p>
        </w:tc>
      </w:tr>
      <w:tr w14:paraId="6CDA8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  <w:vMerge w:val="continue"/>
            <w:noWrap/>
            <w:vAlign w:val="center"/>
          </w:tcPr>
          <w:p w14:paraId="4FAC14C0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19" w:type="dxa"/>
            <w:vMerge w:val="continue"/>
            <w:vAlign w:val="center"/>
          </w:tcPr>
          <w:p w14:paraId="17A4E27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5498" w:type="dxa"/>
            <w:noWrap/>
            <w:vAlign w:val="center"/>
          </w:tcPr>
          <w:p w14:paraId="2B90CB78">
            <w:pPr>
              <w:widowControl/>
              <w:rPr>
                <w:kern w:val="0"/>
                <w:szCs w:val="21"/>
              </w:rPr>
            </w:pPr>
            <w:r>
              <w:rPr>
                <w:szCs w:val="21"/>
              </w:rPr>
              <w:t>转换开关读数寄生热电势引入的不确定度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9</w:t>
            </w:r>
          </w:p>
        </w:tc>
      </w:tr>
      <w:tr w14:paraId="3D5A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  <w:vMerge w:val="continue"/>
            <w:noWrap/>
            <w:vAlign w:val="center"/>
          </w:tcPr>
          <w:p w14:paraId="162FF283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19" w:type="dxa"/>
            <w:vMerge w:val="continue"/>
            <w:vAlign w:val="center"/>
          </w:tcPr>
          <w:p w14:paraId="48773F8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5498" w:type="dxa"/>
            <w:noWrap/>
            <w:vAlign w:val="center"/>
          </w:tcPr>
          <w:p w14:paraId="21CC8013">
            <w:pPr>
              <w:widowControl/>
              <w:rPr>
                <w:kern w:val="0"/>
                <w:szCs w:val="21"/>
              </w:rPr>
            </w:pPr>
            <w:r>
              <w:rPr>
                <w:szCs w:val="21"/>
              </w:rPr>
              <w:t>热电偶参考端温度不均匀引入的不确定度</w:t>
            </w:r>
            <w:r>
              <w:rPr>
                <w:i/>
                <w:sz w:val="24"/>
                <w:szCs w:val="21"/>
              </w:rPr>
              <w:t>u</w:t>
            </w:r>
            <w:r>
              <w:rPr>
                <w:sz w:val="24"/>
                <w:szCs w:val="21"/>
                <w:vertAlign w:val="subscript"/>
              </w:rPr>
              <w:t>10</w:t>
            </w:r>
          </w:p>
        </w:tc>
      </w:tr>
    </w:tbl>
    <w:p w14:paraId="4493A026"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3.1</w:t>
      </w:r>
      <w:r>
        <w:rPr>
          <w:sz w:val="24"/>
        </w:rPr>
        <w:t>输入量</w:t>
      </w:r>
      <w:r>
        <w:rPr>
          <w:position w:val="-12"/>
        </w:rPr>
        <w:object>
          <v:shape id="_x0000_i1059" o:spt="75" type="#_x0000_t75" style="height:18pt;width:10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rPr>
          <w:sz w:val="24"/>
        </w:rPr>
        <w:t>引入的标准不确定度</w:t>
      </w:r>
      <w:r>
        <w:rPr>
          <w:position w:val="-14"/>
          <w:szCs w:val="21"/>
        </w:rPr>
        <w:object>
          <v:shape id="_x0000_i1060" o:spt="75" type="#_x0000_t75" style="height:19.5pt;width:26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</w:p>
    <w:p w14:paraId="6E73AECA">
      <w:pPr>
        <w:spacing w:line="360" w:lineRule="auto"/>
        <w:rPr>
          <w:sz w:val="24"/>
        </w:rPr>
      </w:pPr>
      <w:r>
        <w:rPr>
          <w:sz w:val="24"/>
          <w:szCs w:val="21"/>
        </w:rPr>
        <w:t>3.1.1 炉温跟踪仪测量重复性引入的不确定度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1</w:t>
      </w:r>
    </w:p>
    <w:p w14:paraId="6705652E">
      <w:pPr>
        <w:snapToGrid w:val="0"/>
        <w:spacing w:line="360" w:lineRule="auto"/>
        <w:jc w:val="center"/>
        <w:rPr>
          <w:sz w:val="24"/>
        </w:rPr>
      </w:pPr>
      <w:r>
        <w:rPr>
          <w:rFonts w:eastAsia="黑体"/>
          <w:szCs w:val="20"/>
        </w:rPr>
        <w:t>表3重复测量得到被校准数据</w:t>
      </w:r>
    </w:p>
    <w:tbl>
      <w:tblPr>
        <w:tblStyle w:val="15"/>
        <w:tblW w:w="80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14:paraId="66331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781D5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序号（</w:t>
            </w:r>
            <w:r>
              <w:rPr>
                <w:i/>
                <w:kern w:val="0"/>
                <w:szCs w:val="21"/>
              </w:rPr>
              <w:t>n</w:t>
            </w:r>
            <w:r>
              <w:rPr>
                <w:kern w:val="0"/>
                <w:szCs w:val="21"/>
              </w:rPr>
              <w:t>）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CA657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628E7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C02D5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561D9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78BB7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7AE2B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1746D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7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C340B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8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5578D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C6FA0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</w:t>
            </w:r>
          </w:p>
        </w:tc>
      </w:tr>
      <w:tr w14:paraId="6E945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5FD87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温度（℃）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BF1E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999.8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BAD7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999.7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A8ED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999.5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5A09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999.3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DE72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999.7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A263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999.4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85A9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999.5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8AB4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999.2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E7FE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999.7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DAFF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999.2</w:t>
            </w:r>
          </w:p>
        </w:tc>
      </w:tr>
    </w:tbl>
    <w:p w14:paraId="4B09584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标准偏差</w:t>
      </w:r>
      <w:r>
        <w:rPr>
          <w:position w:val="-6"/>
          <w:sz w:val="24"/>
        </w:rPr>
        <w:drawing>
          <wp:inline distT="0" distB="0" distL="0" distR="0">
            <wp:extent cx="114300" cy="133350"/>
            <wp:effectExtent l="0" t="0" r="0" b="0"/>
            <wp:docPr id="208863563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635633" name="图片 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>的公式如下：</w:t>
      </w:r>
    </w:p>
    <w:p w14:paraId="408B7AC6">
      <w:pPr>
        <w:spacing w:line="300" w:lineRule="auto"/>
        <w:ind w:right="25" w:rightChars="12"/>
        <w:jc w:val="center"/>
        <w:rPr>
          <w:sz w:val="24"/>
          <w:szCs w:val="21"/>
        </w:rPr>
      </w:pPr>
      <w:r>
        <w:rPr>
          <w:rFonts w:hint="eastAsia"/>
          <w:position w:val="-26"/>
          <w:sz w:val="24"/>
        </w:rPr>
        <w:t xml:space="preserve">                      </w:t>
      </w:r>
      <w:r>
        <w:rPr>
          <w:position w:val="-26"/>
          <w:sz w:val="24"/>
        </w:rPr>
        <w:drawing>
          <wp:inline distT="0" distB="0" distL="0" distR="0">
            <wp:extent cx="1095375" cy="666750"/>
            <wp:effectExtent l="0" t="0" r="9525" b="0"/>
            <wp:docPr id="63659880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598808" name="图片 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6"/>
          <w:sz w:val="24"/>
        </w:rPr>
        <w:t xml:space="preserve">                      </w:t>
      </w:r>
      <w:r>
        <w:rPr>
          <w:sz w:val="24"/>
          <w:szCs w:val="21"/>
        </w:rPr>
        <w:t>(3)</w:t>
      </w:r>
    </w:p>
    <w:p w14:paraId="41F1CA8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则由测量重复性引入的标准不确定度分量：</w:t>
      </w:r>
    </w:p>
    <w:p w14:paraId="73F2A920">
      <w:pPr>
        <w:spacing w:line="360" w:lineRule="auto"/>
        <w:ind w:firstLine="480" w:firstLineChars="200"/>
        <w:jc w:val="center"/>
        <w:rPr>
          <w:sz w:val="24"/>
        </w:rPr>
      </w:pP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  <w:r>
        <w:rPr>
          <w:sz w:val="24"/>
        </w:rPr>
        <w:t xml:space="preserve"> =</w:t>
      </w:r>
      <w:r>
        <w:rPr>
          <w:position w:val="-6"/>
          <w:sz w:val="24"/>
        </w:rPr>
        <w:object>
          <v:shape id="_x0000_i1061" o:spt="75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sz w:val="24"/>
        </w:rPr>
        <w:t>= 0.11℃</w:t>
      </w:r>
    </w:p>
    <w:p w14:paraId="3F4F30E7">
      <w:pPr>
        <w:spacing w:line="360" w:lineRule="auto"/>
        <w:rPr>
          <w:sz w:val="24"/>
        </w:rPr>
      </w:pPr>
      <w:r>
        <w:rPr>
          <w:sz w:val="24"/>
          <w:szCs w:val="21"/>
        </w:rPr>
        <w:t>3.1.2 炉温跟踪仪分辨力引入的不确定度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2</w:t>
      </w:r>
    </w:p>
    <w:p w14:paraId="5C13E68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炉温跟踪仪的分辨力为0.1℃，则半区间宽度为0.05℃，按均匀分布，可得：</w:t>
      </w:r>
    </w:p>
    <w:p w14:paraId="0280D139">
      <w:pPr>
        <w:spacing w:line="360" w:lineRule="auto"/>
        <w:jc w:val="center"/>
        <w:rPr>
          <w:sz w:val="24"/>
        </w:rPr>
      </w:pPr>
      <w:r>
        <w:rPr>
          <w:position w:val="-12"/>
        </w:rPr>
        <w:object>
          <v:shape id="_x0000_i1062" o:spt="75" type="#_x0000_t75" style="height:19.5pt;width:76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sz w:val="24"/>
        </w:rPr>
        <w:t>0.029℃</w:t>
      </w:r>
    </w:p>
    <w:p w14:paraId="22E71FF2">
      <w:pPr>
        <w:spacing w:line="360" w:lineRule="auto"/>
        <w:rPr>
          <w:sz w:val="24"/>
        </w:rPr>
      </w:pPr>
      <w:r>
        <w:rPr>
          <w:sz w:val="24"/>
          <w:szCs w:val="21"/>
        </w:rPr>
        <w:t>3.1.3 炉内金属均温块径向温场不均匀性引入的不确定度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3</w:t>
      </w:r>
    </w:p>
    <w:p w14:paraId="17C14F2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校准时，由于炉内放置的均温块径向温场不均匀，经测试约为0.21℃，取区间半宽为0.105℃，按均匀分布，则：</w:t>
      </w:r>
    </w:p>
    <w:p w14:paraId="6E06332D">
      <w:pPr>
        <w:spacing w:line="360" w:lineRule="auto"/>
        <w:jc w:val="center"/>
        <w:rPr>
          <w:sz w:val="24"/>
        </w:rPr>
      </w:pPr>
      <w:r>
        <w:rPr>
          <w:position w:val="-12"/>
        </w:rPr>
        <w:object>
          <v:shape id="_x0000_i1063" o:spt="75" type="#_x0000_t75" style="height:19.5pt;width:82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sz w:val="24"/>
        </w:rPr>
        <w:t>0.061℃</w:t>
      </w:r>
    </w:p>
    <w:p w14:paraId="7EE64566">
      <w:pPr>
        <w:spacing w:line="360" w:lineRule="auto"/>
        <w:rPr>
          <w:sz w:val="24"/>
        </w:rPr>
      </w:pPr>
      <w:r>
        <w:rPr>
          <w:sz w:val="24"/>
          <w:szCs w:val="21"/>
        </w:rPr>
        <w:t>3.1.4 炉温波动引入的不确定度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3</w:t>
      </w:r>
    </w:p>
    <w:p w14:paraId="6301443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每一组独立测量时，由于标准热电偶测得温场实际变化不超过2.0μV，以微分热电势11.54μV/℃计算，相当于0.173℃，取区间半宽为0.087℃，按照均匀分布考虑，则：</w:t>
      </w:r>
    </w:p>
    <w:p w14:paraId="42A34DBF">
      <w:pPr>
        <w:spacing w:line="360" w:lineRule="auto"/>
        <w:jc w:val="center"/>
        <w:rPr>
          <w:sz w:val="24"/>
        </w:rPr>
      </w:pPr>
      <w:r>
        <w:rPr>
          <w:position w:val="-12"/>
        </w:rPr>
        <w:object>
          <v:shape id="_x0000_i1064" o:spt="75" type="#_x0000_t75" style="height:19.5pt;width:82.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sz w:val="24"/>
        </w:rPr>
        <w:t>0.050℃</w:t>
      </w:r>
    </w:p>
    <w:p w14:paraId="0DEA68B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因此，输入量</w:t>
      </w:r>
      <w:r>
        <w:rPr>
          <w:position w:val="-12"/>
        </w:rPr>
        <w:object>
          <v:shape id="_x0000_i1065" o:spt="75" type="#_x0000_t75" style="height:18pt;width:10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  <w:r>
        <w:rPr>
          <w:sz w:val="24"/>
        </w:rPr>
        <w:t>引入的标准不确定度</w:t>
      </w:r>
      <w:r>
        <w:rPr>
          <w:position w:val="-14"/>
          <w:szCs w:val="21"/>
        </w:rPr>
        <w:object>
          <v:shape id="_x0000_i1066" o:spt="75" type="#_x0000_t75" style="height:19.5pt;width:26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sz w:val="24"/>
          <w:szCs w:val="21"/>
        </w:rPr>
        <w:t>的合成为：</w:t>
      </w:r>
    </w:p>
    <w:p w14:paraId="74BFDD2A">
      <w:pPr>
        <w:spacing w:line="360" w:lineRule="auto"/>
        <w:jc w:val="center"/>
        <w:rPr>
          <w:sz w:val="24"/>
        </w:rPr>
      </w:pPr>
      <w:r>
        <w:rPr>
          <w:position w:val="-14"/>
        </w:rPr>
        <w:object>
          <v:shape id="_x0000_i1067" o:spt="75" type="#_x0000_t75" style="height:22.5pt;width:135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5">
            <o:LockedField>false</o:LockedField>
          </o:OLEObject>
        </w:object>
      </w:r>
      <w:r>
        <w:rPr>
          <w:sz w:val="24"/>
        </w:rPr>
        <w:t>0.24℃</w:t>
      </w:r>
    </w:p>
    <w:p w14:paraId="7F94864C"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>3.2</w:t>
      </w:r>
      <w:r>
        <w:rPr>
          <w:sz w:val="24"/>
        </w:rPr>
        <w:t>输入量</w:t>
      </w:r>
      <w:r>
        <w:rPr>
          <w:position w:val="-14"/>
        </w:rPr>
        <w:object>
          <v:shape id="_x0000_i1068" o:spt="75" type="#_x0000_t75" style="height:19.5pt;width:37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7">
            <o:LockedField>false</o:LockedField>
          </o:OLEObject>
        </w:object>
      </w:r>
      <w:r>
        <w:rPr>
          <w:sz w:val="24"/>
          <w:szCs w:val="21"/>
        </w:rPr>
        <w:t>引入的</w:t>
      </w:r>
      <w:r>
        <w:rPr>
          <w:sz w:val="24"/>
        </w:rPr>
        <w:t>标准不确定度</w:t>
      </w:r>
      <w:r>
        <w:rPr>
          <w:position w:val="-16"/>
        </w:rPr>
        <w:object>
          <v:shape id="_x0000_i1069" o:spt="75" type="#_x0000_t75" style="height:22.5pt;width:56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8">
            <o:LockedField>false</o:LockedField>
          </o:OLEObject>
        </w:object>
      </w:r>
    </w:p>
    <w:p w14:paraId="7FF0FD21">
      <w:pPr>
        <w:spacing w:line="360" w:lineRule="auto"/>
        <w:rPr>
          <w:sz w:val="24"/>
        </w:rPr>
      </w:pPr>
      <w:r>
        <w:rPr>
          <w:sz w:val="24"/>
          <w:szCs w:val="21"/>
        </w:rPr>
        <w:t>3.2.1标准铂铑10-铂热电偶检定结果引入的不确定度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5</w:t>
      </w:r>
    </w:p>
    <w:p w14:paraId="5B2BCE0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根据量传系统，标准铂铑10-铂热电偶扩展不确定度为0.5℃，约5.77 μV，</w:t>
      </w:r>
      <w:r>
        <w:rPr>
          <w:i/>
          <w:sz w:val="24"/>
        </w:rPr>
        <w:t>k</w:t>
      </w:r>
      <w:r>
        <w:rPr>
          <w:sz w:val="24"/>
        </w:rPr>
        <w:t>=2，则：</w:t>
      </w:r>
    </w:p>
    <w:p w14:paraId="3A8ACF4F">
      <w:pPr>
        <w:spacing w:line="360" w:lineRule="auto"/>
        <w:jc w:val="center"/>
        <w:rPr>
          <w:sz w:val="24"/>
        </w:rPr>
      </w:pPr>
      <w:r>
        <w:rPr>
          <w:position w:val="-12"/>
        </w:rPr>
        <w:object>
          <v:shape id="_x0000_i1070" o:spt="75" type="#_x0000_t75" style="height:18pt;width:67.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9">
            <o:LockedField>false</o:LockedField>
          </o:OLEObject>
        </w:object>
      </w:r>
      <w:r>
        <w:rPr>
          <w:sz w:val="24"/>
        </w:rPr>
        <w:t>2.885 μV</w:t>
      </w:r>
    </w:p>
    <w:p w14:paraId="7A3FE675">
      <w:pPr>
        <w:spacing w:line="360" w:lineRule="auto"/>
        <w:rPr>
          <w:sz w:val="24"/>
        </w:rPr>
      </w:pPr>
      <w:r>
        <w:rPr>
          <w:sz w:val="24"/>
          <w:szCs w:val="21"/>
        </w:rPr>
        <w:t>3.2.2标准铂铑10-铂热电偶的年稳定性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6</w:t>
      </w:r>
    </w:p>
    <w:p w14:paraId="007911C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标准铂铑10-铂热电偶在检定周期或校准间隔内热电动势变化一般不超过±5μV服从正态分布，则：</w:t>
      </w:r>
    </w:p>
    <w:p w14:paraId="3FAB3809">
      <w:pPr>
        <w:spacing w:line="360" w:lineRule="auto"/>
        <w:jc w:val="center"/>
        <w:rPr>
          <w:sz w:val="24"/>
        </w:rPr>
      </w:pPr>
      <w:r>
        <w:rPr>
          <w:position w:val="-12"/>
        </w:rPr>
        <w:object>
          <v:shape id="_x0000_i1071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1">
            <o:LockedField>false</o:LockedField>
          </o:OLEObject>
        </w:object>
      </w:r>
      <w:r>
        <w:rPr>
          <w:sz w:val="24"/>
        </w:rPr>
        <w:t>1.667 μV</w:t>
      </w:r>
    </w:p>
    <w:p w14:paraId="2691951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因此，输入量</w:t>
      </w:r>
      <w:r>
        <w:rPr>
          <w:position w:val="-14"/>
        </w:rPr>
        <w:object>
          <v:shape id="_x0000_i1072" o:spt="75" type="#_x0000_t75" style="height:19.5pt;width:37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3">
            <o:LockedField>false</o:LockedField>
          </o:OLEObject>
        </w:object>
      </w:r>
      <w:r>
        <w:rPr>
          <w:sz w:val="24"/>
        </w:rPr>
        <w:t>引入的标准不确定度</w:t>
      </w:r>
      <w:r>
        <w:rPr>
          <w:position w:val="-16"/>
        </w:rPr>
        <w:object>
          <v:shape id="_x0000_i1073" o:spt="75" type="#_x0000_t75" style="height:22.5pt;width:56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4">
            <o:LockedField>false</o:LockedField>
          </o:OLEObject>
        </w:object>
      </w:r>
      <w:r>
        <w:rPr>
          <w:sz w:val="24"/>
          <w:szCs w:val="21"/>
        </w:rPr>
        <w:t>的合成为：</w:t>
      </w:r>
    </w:p>
    <w:p w14:paraId="3A10DD1C">
      <w:pPr>
        <w:spacing w:line="360" w:lineRule="auto"/>
        <w:jc w:val="center"/>
        <w:rPr>
          <w:sz w:val="24"/>
        </w:rPr>
      </w:pPr>
      <w:r>
        <w:rPr>
          <w:position w:val="-16"/>
        </w:rPr>
        <w:object>
          <v:shape id="_x0000_i1074" o:spt="75" type="#_x0000_t75" style="height:24pt;width:12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5">
            <o:LockedField>false</o:LockedField>
          </o:OLEObject>
        </w:object>
      </w:r>
      <w:r>
        <w:rPr>
          <w:sz w:val="24"/>
        </w:rPr>
        <w:t>3.332 μV</w:t>
      </w:r>
    </w:p>
    <w:p w14:paraId="33FF4188">
      <w:pPr>
        <w:spacing w:line="360" w:lineRule="auto"/>
        <w:rPr>
          <w:sz w:val="24"/>
          <w:szCs w:val="21"/>
        </w:rPr>
      </w:pPr>
      <w:r>
        <w:rPr>
          <w:sz w:val="24"/>
          <w:szCs w:val="21"/>
        </w:rPr>
        <w:t xml:space="preserve">3.3 </w:t>
      </w:r>
      <w:r>
        <w:rPr>
          <w:sz w:val="24"/>
        </w:rPr>
        <w:t>输入量</w:t>
      </w:r>
      <w:r>
        <w:rPr>
          <w:position w:val="-14"/>
        </w:rPr>
        <w:object>
          <v:shape id="_x0000_i1075" o:spt="75" type="#_x0000_t75" style="height:19.5pt;width:31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97">
            <o:LockedField>false</o:LockedField>
          </o:OLEObject>
        </w:object>
      </w:r>
      <w:r>
        <w:rPr>
          <w:sz w:val="24"/>
        </w:rPr>
        <w:t>引入的标准不确定度</w:t>
      </w:r>
      <w:r>
        <w:rPr>
          <w:position w:val="-16"/>
        </w:rPr>
        <w:object>
          <v:shape id="_x0000_i1076" o:spt="75" type="#_x0000_t75" style="height:22.5pt;width:49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8">
            <o:LockedField>false</o:LockedField>
          </o:OLEObject>
        </w:object>
      </w:r>
    </w:p>
    <w:p w14:paraId="6281C762">
      <w:pPr>
        <w:spacing w:line="360" w:lineRule="auto"/>
        <w:rPr>
          <w:sz w:val="24"/>
        </w:rPr>
      </w:pPr>
      <w:r>
        <w:rPr>
          <w:sz w:val="24"/>
          <w:szCs w:val="21"/>
        </w:rPr>
        <w:t>3.3.1 标准铂铑10-铂热电偶重复测量引入的不确定度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7</w:t>
      </w:r>
    </w:p>
    <w:p w14:paraId="27CAF7A9">
      <w:pPr>
        <w:snapToGrid w:val="0"/>
        <w:spacing w:line="360" w:lineRule="auto"/>
        <w:jc w:val="center"/>
        <w:rPr>
          <w:sz w:val="24"/>
        </w:rPr>
      </w:pPr>
      <w:r>
        <w:rPr>
          <w:rFonts w:eastAsia="黑体"/>
          <w:szCs w:val="20"/>
        </w:rPr>
        <w:t>表4重复测量得到标准铂铑10-铂热电偶数据</w:t>
      </w:r>
    </w:p>
    <w:tbl>
      <w:tblPr>
        <w:tblStyle w:val="15"/>
        <w:tblW w:w="80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</w:tblGrid>
      <w:tr w14:paraId="60D63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BC7F1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序号（</w:t>
            </w:r>
            <w:r>
              <w:rPr>
                <w:i/>
                <w:kern w:val="0"/>
                <w:szCs w:val="21"/>
              </w:rPr>
              <w:t>n</w:t>
            </w:r>
            <w:r>
              <w:rPr>
                <w:kern w:val="0"/>
                <w:szCs w:val="21"/>
              </w:rPr>
              <w:t>）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22F34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1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9E91C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2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09D88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3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83363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4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833A9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5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293F0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6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24B35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7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C151C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8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29962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C2FFA4">
            <w:pPr>
              <w:widowControl/>
              <w:spacing w:line="276" w:lineRule="auto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10</w:t>
            </w:r>
          </w:p>
        </w:tc>
      </w:tr>
      <w:tr w14:paraId="3987B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1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3DF9D">
            <w:pPr>
              <w:widowControl/>
              <w:spacing w:line="276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温度（mV）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63858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9.4744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C452F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9.4749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70547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9.4747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2292C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9.4750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22F2F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9.4749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912BD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9.4752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0AF75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9.4752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7EA54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9.4750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575A6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9.4748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F590B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9.4746</w:t>
            </w:r>
          </w:p>
        </w:tc>
      </w:tr>
    </w:tbl>
    <w:p w14:paraId="26BE584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标准偏差</w:t>
      </w:r>
      <w:r>
        <w:rPr>
          <w:position w:val="-6"/>
          <w:sz w:val="24"/>
        </w:rPr>
        <w:drawing>
          <wp:inline distT="0" distB="0" distL="0" distR="0">
            <wp:extent cx="114300" cy="133350"/>
            <wp:effectExtent l="0" t="0" r="0" b="0"/>
            <wp:docPr id="15584272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427241" name="图片 2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>的公式如下：</w:t>
      </w:r>
    </w:p>
    <w:p w14:paraId="6F4E4C39">
      <w:pPr>
        <w:spacing w:line="300" w:lineRule="auto"/>
        <w:ind w:right="25" w:rightChars="12"/>
        <w:jc w:val="center"/>
        <w:rPr>
          <w:sz w:val="24"/>
          <w:szCs w:val="21"/>
        </w:rPr>
      </w:pPr>
      <w:r>
        <w:rPr>
          <w:rFonts w:hint="eastAsia"/>
          <w:position w:val="-26"/>
          <w:sz w:val="24"/>
        </w:rPr>
        <w:t xml:space="preserve">                           </w:t>
      </w:r>
      <w:r>
        <w:rPr>
          <w:position w:val="-26"/>
          <w:sz w:val="24"/>
        </w:rPr>
        <w:drawing>
          <wp:inline distT="0" distB="0" distL="0" distR="0">
            <wp:extent cx="1095375" cy="666750"/>
            <wp:effectExtent l="0" t="0" r="9525" b="0"/>
            <wp:docPr id="13760175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017513" name="图片 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6"/>
          <w:sz w:val="24"/>
        </w:rPr>
        <w:t xml:space="preserve">                        </w:t>
      </w:r>
      <w:r>
        <w:rPr>
          <w:sz w:val="24"/>
          <w:szCs w:val="21"/>
        </w:rPr>
        <w:t>(4)</w:t>
      </w:r>
    </w:p>
    <w:p w14:paraId="29CF272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则由标准铂铑10-铂热电偶测量重复性引入的标准不确定度分量：</w:t>
      </w:r>
    </w:p>
    <w:p w14:paraId="0B1D2A15">
      <w:pPr>
        <w:spacing w:line="360" w:lineRule="auto"/>
        <w:ind w:firstLine="480" w:firstLineChars="200"/>
        <w:jc w:val="center"/>
        <w:rPr>
          <w:sz w:val="24"/>
        </w:rPr>
      </w:pPr>
      <w:r>
        <w:rPr>
          <w:i/>
          <w:sz w:val="24"/>
        </w:rPr>
        <w:t>u</w:t>
      </w:r>
      <w:r>
        <w:rPr>
          <w:sz w:val="24"/>
          <w:vertAlign w:val="subscript"/>
        </w:rPr>
        <w:t>7</w:t>
      </w:r>
      <w:r>
        <w:rPr>
          <w:sz w:val="24"/>
        </w:rPr>
        <w:t xml:space="preserve"> =</w:t>
      </w:r>
      <w:r>
        <w:rPr>
          <w:position w:val="-6"/>
          <w:sz w:val="24"/>
        </w:rPr>
        <w:object>
          <v:shape id="_x0000_i1077" o:spt="75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99">
            <o:LockedField>false</o:LockedField>
          </o:OLEObject>
        </w:object>
      </w:r>
      <w:r>
        <w:rPr>
          <w:sz w:val="24"/>
        </w:rPr>
        <w:t>= 0.125μV</w:t>
      </w:r>
    </w:p>
    <w:p w14:paraId="78E41C3A">
      <w:pPr>
        <w:spacing w:line="360" w:lineRule="auto"/>
        <w:rPr>
          <w:sz w:val="24"/>
        </w:rPr>
      </w:pPr>
      <w:r>
        <w:rPr>
          <w:sz w:val="24"/>
          <w:szCs w:val="21"/>
        </w:rPr>
        <w:t>3.3.2电测仪表测量误差引入的不确定度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8</w:t>
      </w:r>
    </w:p>
    <w:p w14:paraId="621BCA8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使用数字多用表吉时利2010进行测量时，量程（0~100）mV，最大允许误差为±（37×10</w:t>
      </w:r>
      <w:r>
        <w:rPr>
          <w:sz w:val="24"/>
          <w:vertAlign w:val="superscript"/>
        </w:rPr>
        <w:t>-6</w:t>
      </w:r>
      <w:r>
        <w:rPr>
          <w:sz w:val="24"/>
        </w:rPr>
        <w:t>×读数+9×10</w:t>
      </w:r>
      <w:r>
        <w:rPr>
          <w:sz w:val="24"/>
          <w:vertAlign w:val="superscript"/>
        </w:rPr>
        <w:t>-6</w:t>
      </w:r>
      <w:r>
        <w:rPr>
          <w:sz w:val="24"/>
        </w:rPr>
        <w:t>×量程），按均匀分布考虑，则：</w:t>
      </w:r>
    </w:p>
    <w:p w14:paraId="5F35F882">
      <w:pPr>
        <w:spacing w:line="360" w:lineRule="auto"/>
        <w:jc w:val="center"/>
        <w:rPr>
          <w:sz w:val="24"/>
        </w:rPr>
      </w:pPr>
      <w:r>
        <w:rPr>
          <w:position w:val="-12"/>
        </w:rPr>
        <w:object>
          <v:shape id="_x0000_i1078" o:spt="75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0">
            <o:LockedField>false</o:LockedField>
          </o:OLEObject>
        </w:object>
      </w:r>
      <w:r>
        <w:rPr>
          <w:sz w:val="24"/>
        </w:rPr>
        <w:t>0.722 μV</w:t>
      </w:r>
    </w:p>
    <w:p w14:paraId="348B6E0A">
      <w:pPr>
        <w:spacing w:line="360" w:lineRule="auto"/>
        <w:rPr>
          <w:sz w:val="24"/>
        </w:rPr>
      </w:pPr>
      <w:r>
        <w:rPr>
          <w:sz w:val="24"/>
          <w:szCs w:val="21"/>
        </w:rPr>
        <w:t>3.3.3 转换开关读数寄生热电势引入的不确定度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9</w:t>
      </w:r>
    </w:p>
    <w:p w14:paraId="6409552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转换开关接触电势应小于0.5μV。按均匀分布考虑，则：</w:t>
      </w:r>
    </w:p>
    <w:p w14:paraId="55151CCD">
      <w:pPr>
        <w:spacing w:line="360" w:lineRule="auto"/>
        <w:jc w:val="center"/>
        <w:rPr>
          <w:sz w:val="24"/>
        </w:rPr>
      </w:pPr>
      <w:r>
        <w:rPr>
          <w:position w:val="-12"/>
        </w:rPr>
        <w:object>
          <v:shape id="_x0000_i1079" o:spt="75" type="#_x0000_t75" style="height:19.5pt;width:70.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2">
            <o:LockedField>false</o:LockedField>
          </o:OLEObject>
        </w:object>
      </w:r>
      <w:r>
        <w:rPr>
          <w:sz w:val="24"/>
        </w:rPr>
        <w:t>0.289 μV</w:t>
      </w:r>
    </w:p>
    <w:p w14:paraId="25FEB792">
      <w:pPr>
        <w:spacing w:line="360" w:lineRule="auto"/>
        <w:rPr>
          <w:sz w:val="24"/>
        </w:rPr>
      </w:pPr>
      <w:r>
        <w:rPr>
          <w:sz w:val="24"/>
          <w:szCs w:val="21"/>
        </w:rPr>
        <w:t>3.3.4 热电偶参考端温度不均匀引入的不确定度</w:t>
      </w:r>
      <w:r>
        <w:rPr>
          <w:i/>
          <w:sz w:val="24"/>
          <w:szCs w:val="21"/>
        </w:rPr>
        <w:t>u</w:t>
      </w:r>
      <w:r>
        <w:rPr>
          <w:sz w:val="24"/>
          <w:szCs w:val="21"/>
          <w:vertAlign w:val="subscript"/>
        </w:rPr>
        <w:t>10</w:t>
      </w:r>
    </w:p>
    <w:p w14:paraId="37D5206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由经验和试验可得热电偶参考端即冰点恒温器带来的误差为±0.05℃，标准铂铑10-铂热电偶在冰点的微分热电势为5.403μV/℃，换算成电势值为±（5.403×0.05℃）=±0.27μV，按均匀分布考虑，则：</w:t>
      </w:r>
    </w:p>
    <w:p w14:paraId="0647CF88">
      <w:pPr>
        <w:spacing w:line="360" w:lineRule="auto"/>
        <w:jc w:val="center"/>
        <w:rPr>
          <w:sz w:val="24"/>
        </w:rPr>
      </w:pPr>
      <w:r>
        <w:rPr>
          <w:position w:val="-12"/>
        </w:rPr>
        <w:object>
          <v:shape id="_x0000_i1080" o:spt="75" type="#_x0000_t75" style="height:19.5pt;width:79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4">
            <o:LockedField>false</o:LockedField>
          </o:OLEObject>
        </w:object>
      </w:r>
      <w:r>
        <w:rPr>
          <w:sz w:val="24"/>
        </w:rPr>
        <w:t>0.156 μV</w:t>
      </w:r>
    </w:p>
    <w:p w14:paraId="0BF140E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因此，输入量</w:t>
      </w:r>
      <w:r>
        <w:rPr>
          <w:position w:val="-14"/>
        </w:rPr>
        <w:object>
          <v:shape id="_x0000_i1081" o:spt="75" type="#_x0000_t75" style="height:19.5pt;width:31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6">
            <o:LockedField>false</o:LockedField>
          </o:OLEObject>
        </w:object>
      </w:r>
      <w:r>
        <w:rPr>
          <w:sz w:val="24"/>
        </w:rPr>
        <w:t>引入的标准不确定度</w:t>
      </w:r>
      <w:r>
        <w:rPr>
          <w:position w:val="-16"/>
        </w:rPr>
        <w:object>
          <v:shape id="_x0000_i1082" o:spt="75" type="#_x0000_t75" style="height:22.5pt;width:49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7">
            <o:LockedField>false</o:LockedField>
          </o:OLEObject>
        </w:object>
      </w:r>
      <w:r>
        <w:rPr>
          <w:sz w:val="24"/>
        </w:rPr>
        <w:t>：</w:t>
      </w:r>
    </w:p>
    <w:p w14:paraId="415426CD">
      <w:pPr>
        <w:spacing w:line="360" w:lineRule="auto"/>
        <w:jc w:val="center"/>
        <w:rPr>
          <w:sz w:val="24"/>
        </w:rPr>
      </w:pPr>
      <w:r>
        <w:rPr>
          <w:position w:val="-16"/>
        </w:rPr>
        <w:object>
          <v:shape id="_x0000_i1083" o:spt="75" type="#_x0000_t75" style="height:24pt;width:159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8">
            <o:LockedField>false</o:LockedField>
          </o:OLEObject>
        </w:object>
      </w:r>
      <w:r>
        <w:rPr>
          <w:sz w:val="24"/>
        </w:rPr>
        <w:t>0.832μV</w:t>
      </w:r>
    </w:p>
    <w:p w14:paraId="54615F7D">
      <w:pPr>
        <w:spacing w:line="360" w:lineRule="auto"/>
        <w:jc w:val="center"/>
        <w:rPr>
          <w:sz w:val="24"/>
        </w:rPr>
      </w:pPr>
      <w:r>
        <w:rPr>
          <w:rFonts w:eastAsia="黑体"/>
        </w:rPr>
        <w:t>表5标准不确定度分量及来源</w:t>
      </w:r>
    </w:p>
    <w:tbl>
      <w:tblPr>
        <w:tblStyle w:val="15"/>
        <w:tblW w:w="8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271"/>
        <w:gridCol w:w="3691"/>
        <w:gridCol w:w="1209"/>
        <w:gridCol w:w="931"/>
      </w:tblGrid>
      <w:tr w14:paraId="0742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1" w:type="dxa"/>
            <w:noWrap/>
            <w:vAlign w:val="center"/>
          </w:tcPr>
          <w:p w14:paraId="3699102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符号</w:t>
            </w:r>
          </w:p>
        </w:tc>
        <w:tc>
          <w:tcPr>
            <w:tcW w:w="1271" w:type="dxa"/>
            <w:vAlign w:val="center"/>
          </w:tcPr>
          <w:p w14:paraId="290DAEE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标准不确定度分量</w:t>
            </w:r>
            <w:r>
              <w:rPr>
                <w:i/>
                <w:kern w:val="0"/>
                <w:szCs w:val="21"/>
              </w:rPr>
              <w:t>u</w:t>
            </w:r>
            <w:r>
              <w:rPr>
                <w:i/>
                <w:kern w:val="0"/>
                <w:szCs w:val="21"/>
                <w:vertAlign w:val="subscript"/>
              </w:rPr>
              <w:t>i</w:t>
            </w:r>
          </w:p>
        </w:tc>
        <w:tc>
          <w:tcPr>
            <w:tcW w:w="3691" w:type="dxa"/>
            <w:noWrap/>
            <w:vAlign w:val="center"/>
          </w:tcPr>
          <w:p w14:paraId="0CFB2AF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不确定度来源</w:t>
            </w:r>
          </w:p>
        </w:tc>
        <w:tc>
          <w:tcPr>
            <w:tcW w:w="1209" w:type="dxa"/>
            <w:vAlign w:val="center"/>
          </w:tcPr>
          <w:p w14:paraId="1AAADEF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标准不确定度分量</w:t>
            </w:r>
            <w:r>
              <w:rPr>
                <w:i/>
                <w:kern w:val="0"/>
                <w:szCs w:val="21"/>
              </w:rPr>
              <w:t>u</w:t>
            </w:r>
            <w:r>
              <w:rPr>
                <w:i/>
                <w:kern w:val="0"/>
                <w:szCs w:val="21"/>
                <w:vertAlign w:val="subscript"/>
              </w:rPr>
              <w:t>i</w:t>
            </w:r>
          </w:p>
        </w:tc>
        <w:tc>
          <w:tcPr>
            <w:tcW w:w="931" w:type="dxa"/>
            <w:vAlign w:val="center"/>
          </w:tcPr>
          <w:p w14:paraId="2837FF1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|</w:t>
            </w:r>
            <w:r>
              <w:rPr>
                <w:i/>
                <w:kern w:val="0"/>
                <w:szCs w:val="21"/>
              </w:rPr>
              <w:t>c</w:t>
            </w:r>
            <w:r>
              <w:rPr>
                <w:i/>
                <w:kern w:val="0"/>
                <w:szCs w:val="21"/>
                <w:vertAlign w:val="subscript"/>
              </w:rPr>
              <w:t>i</w:t>
            </w:r>
            <w:r>
              <w:rPr>
                <w:kern w:val="0"/>
                <w:szCs w:val="21"/>
              </w:rPr>
              <w:t>|</w:t>
            </w:r>
            <w:r>
              <w:rPr>
                <w:i/>
                <w:kern w:val="0"/>
                <w:szCs w:val="21"/>
              </w:rPr>
              <w:t>u</w:t>
            </w:r>
            <w:r>
              <w:rPr>
                <w:i/>
                <w:kern w:val="0"/>
                <w:szCs w:val="21"/>
                <w:vertAlign w:val="subscript"/>
              </w:rPr>
              <w:t>i</w:t>
            </w:r>
          </w:p>
        </w:tc>
      </w:tr>
      <w:tr w14:paraId="5DEAC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321" w:type="dxa"/>
            <w:vMerge w:val="restart"/>
            <w:noWrap/>
            <w:vAlign w:val="center"/>
          </w:tcPr>
          <w:p w14:paraId="10F955D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84" o:spt="75" type="#_x0000_t75" style="height:16.5pt;width:24pt;" o:ole="t" filled="f" o:preferrelative="t" stroked="f" coordsize="21600,21600">
                  <v:path/>
                  <v:fill on="f" focussize="0,0"/>
                  <v:stroke on="f" joinstyle="miter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10">
                  <o:LockedField>false</o:LockedField>
                </o:OLEObject>
              </w:object>
            </w:r>
          </w:p>
        </w:tc>
        <w:tc>
          <w:tcPr>
            <w:tcW w:w="1271" w:type="dxa"/>
            <w:vAlign w:val="center"/>
          </w:tcPr>
          <w:p w14:paraId="485DF6F6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1</w:t>
            </w:r>
          </w:p>
        </w:tc>
        <w:tc>
          <w:tcPr>
            <w:tcW w:w="3691" w:type="dxa"/>
            <w:noWrap/>
            <w:vAlign w:val="center"/>
          </w:tcPr>
          <w:p w14:paraId="57D8128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炉温跟踪仪测量重复性引入的不确定度</w:t>
            </w:r>
          </w:p>
        </w:tc>
        <w:tc>
          <w:tcPr>
            <w:tcW w:w="1209" w:type="dxa"/>
            <w:vAlign w:val="center"/>
          </w:tcPr>
          <w:p w14:paraId="174AE896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0.11℃</w:t>
            </w:r>
          </w:p>
        </w:tc>
        <w:tc>
          <w:tcPr>
            <w:tcW w:w="931" w:type="dxa"/>
            <w:vMerge w:val="restart"/>
            <w:vAlign w:val="center"/>
          </w:tcPr>
          <w:p w14:paraId="2FC9706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0.14℃</w:t>
            </w:r>
          </w:p>
        </w:tc>
      </w:tr>
      <w:tr w14:paraId="7256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321" w:type="dxa"/>
            <w:vMerge w:val="continue"/>
            <w:noWrap/>
            <w:vAlign w:val="center"/>
          </w:tcPr>
          <w:p w14:paraId="12C7A8B0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109F1A71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2</w:t>
            </w:r>
          </w:p>
        </w:tc>
        <w:tc>
          <w:tcPr>
            <w:tcW w:w="3691" w:type="dxa"/>
            <w:noWrap/>
            <w:vAlign w:val="center"/>
          </w:tcPr>
          <w:p w14:paraId="42C624D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炉温跟踪仪分辨力引入的不确定度</w:t>
            </w:r>
          </w:p>
        </w:tc>
        <w:tc>
          <w:tcPr>
            <w:tcW w:w="1209" w:type="dxa"/>
            <w:vAlign w:val="center"/>
          </w:tcPr>
          <w:p w14:paraId="4680F486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0.03℃</w:t>
            </w:r>
          </w:p>
        </w:tc>
        <w:tc>
          <w:tcPr>
            <w:tcW w:w="931" w:type="dxa"/>
            <w:vMerge w:val="continue"/>
            <w:vAlign w:val="center"/>
          </w:tcPr>
          <w:p w14:paraId="5C318208">
            <w:pPr>
              <w:widowControl/>
              <w:jc w:val="center"/>
              <w:rPr>
                <w:szCs w:val="21"/>
              </w:rPr>
            </w:pPr>
          </w:p>
        </w:tc>
      </w:tr>
      <w:tr w14:paraId="4E2CC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321" w:type="dxa"/>
            <w:vMerge w:val="continue"/>
            <w:noWrap/>
            <w:vAlign w:val="center"/>
          </w:tcPr>
          <w:p w14:paraId="77A4C85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07A713AB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3</w:t>
            </w:r>
          </w:p>
        </w:tc>
        <w:tc>
          <w:tcPr>
            <w:tcW w:w="3691" w:type="dxa"/>
            <w:noWrap/>
            <w:vAlign w:val="center"/>
          </w:tcPr>
          <w:p w14:paraId="2FAA3B0C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炉内金属均温块径向温场不均匀性引入的不确定度</w:t>
            </w:r>
          </w:p>
        </w:tc>
        <w:tc>
          <w:tcPr>
            <w:tcW w:w="1209" w:type="dxa"/>
            <w:vAlign w:val="center"/>
          </w:tcPr>
          <w:p w14:paraId="30A8107B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0.06℃</w:t>
            </w:r>
          </w:p>
        </w:tc>
        <w:tc>
          <w:tcPr>
            <w:tcW w:w="931" w:type="dxa"/>
            <w:vMerge w:val="continue"/>
            <w:vAlign w:val="center"/>
          </w:tcPr>
          <w:p w14:paraId="3A8CFF59">
            <w:pPr>
              <w:widowControl/>
              <w:jc w:val="center"/>
              <w:rPr>
                <w:szCs w:val="21"/>
              </w:rPr>
            </w:pPr>
          </w:p>
        </w:tc>
      </w:tr>
      <w:tr w14:paraId="66819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321" w:type="dxa"/>
            <w:vMerge w:val="continue"/>
            <w:noWrap/>
            <w:vAlign w:val="center"/>
          </w:tcPr>
          <w:p w14:paraId="2746C0D3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60602216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4</w:t>
            </w:r>
          </w:p>
        </w:tc>
        <w:tc>
          <w:tcPr>
            <w:tcW w:w="3691" w:type="dxa"/>
            <w:noWrap/>
            <w:vAlign w:val="center"/>
          </w:tcPr>
          <w:p w14:paraId="6308921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炉温波动引入的不确定度</w:t>
            </w:r>
          </w:p>
        </w:tc>
        <w:tc>
          <w:tcPr>
            <w:tcW w:w="1209" w:type="dxa"/>
            <w:vAlign w:val="center"/>
          </w:tcPr>
          <w:p w14:paraId="5ADA407E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0.05℃</w:t>
            </w:r>
          </w:p>
        </w:tc>
        <w:tc>
          <w:tcPr>
            <w:tcW w:w="931" w:type="dxa"/>
            <w:vMerge w:val="continue"/>
            <w:vAlign w:val="center"/>
          </w:tcPr>
          <w:p w14:paraId="01E91970">
            <w:pPr>
              <w:widowControl/>
              <w:jc w:val="center"/>
              <w:rPr>
                <w:szCs w:val="21"/>
              </w:rPr>
            </w:pPr>
          </w:p>
        </w:tc>
      </w:tr>
      <w:tr w14:paraId="0073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1321" w:type="dxa"/>
            <w:vMerge w:val="restart"/>
            <w:vAlign w:val="center"/>
          </w:tcPr>
          <w:p w14:paraId="1420A4A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4"/>
              </w:rPr>
              <w:object>
                <v:shape id="_x0000_i1085" o:spt="75" type="#_x0000_t75" style="height:19.5pt;width:49.5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11">
                  <o:LockedField>false</o:LockedField>
                </o:OLEObject>
              </w:object>
            </w:r>
          </w:p>
        </w:tc>
        <w:tc>
          <w:tcPr>
            <w:tcW w:w="1271" w:type="dxa"/>
            <w:vAlign w:val="center"/>
          </w:tcPr>
          <w:p w14:paraId="4358955F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5</w:t>
            </w:r>
          </w:p>
        </w:tc>
        <w:tc>
          <w:tcPr>
            <w:tcW w:w="3691" w:type="dxa"/>
            <w:noWrap/>
            <w:vAlign w:val="center"/>
          </w:tcPr>
          <w:p w14:paraId="3867320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标准铂铑10-铂热电偶检定结果引入的不确定度</w:t>
            </w:r>
          </w:p>
        </w:tc>
        <w:tc>
          <w:tcPr>
            <w:tcW w:w="1209" w:type="dxa"/>
            <w:vAlign w:val="center"/>
          </w:tcPr>
          <w:p w14:paraId="69F7328C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2.885μV</w:t>
            </w:r>
          </w:p>
        </w:tc>
        <w:tc>
          <w:tcPr>
            <w:tcW w:w="931" w:type="dxa"/>
            <w:vMerge w:val="restart"/>
            <w:vAlign w:val="center"/>
          </w:tcPr>
          <w:p w14:paraId="4B5B164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0.29℃</w:t>
            </w:r>
          </w:p>
        </w:tc>
      </w:tr>
      <w:tr w14:paraId="7666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1" w:type="dxa"/>
            <w:vMerge w:val="continue"/>
            <w:vAlign w:val="center"/>
          </w:tcPr>
          <w:p w14:paraId="6581F9F9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465FBCF8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6</w:t>
            </w:r>
          </w:p>
        </w:tc>
        <w:tc>
          <w:tcPr>
            <w:tcW w:w="3691" w:type="dxa"/>
            <w:noWrap/>
            <w:vAlign w:val="center"/>
          </w:tcPr>
          <w:p w14:paraId="61E1508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标准铂铑10-铂热电偶的年稳定性</w:t>
            </w:r>
          </w:p>
        </w:tc>
        <w:tc>
          <w:tcPr>
            <w:tcW w:w="1209" w:type="dxa"/>
            <w:vAlign w:val="center"/>
          </w:tcPr>
          <w:p w14:paraId="1BDB5477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1.667μV</w:t>
            </w:r>
          </w:p>
        </w:tc>
        <w:tc>
          <w:tcPr>
            <w:tcW w:w="931" w:type="dxa"/>
            <w:vMerge w:val="continue"/>
            <w:vAlign w:val="center"/>
          </w:tcPr>
          <w:p w14:paraId="484411A7">
            <w:pPr>
              <w:widowControl/>
              <w:jc w:val="center"/>
              <w:rPr>
                <w:szCs w:val="21"/>
              </w:rPr>
            </w:pPr>
          </w:p>
        </w:tc>
      </w:tr>
      <w:tr w14:paraId="7F9C7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1" w:type="dxa"/>
            <w:vMerge w:val="restart"/>
            <w:vAlign w:val="center"/>
          </w:tcPr>
          <w:p w14:paraId="42D674C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position w:val="-14"/>
              </w:rPr>
              <w:object>
                <v:shape id="_x0000_i1086" o:spt="75" type="#_x0000_t75" style="height:19.5pt;width:43.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12">
                  <o:LockedField>false</o:LockedField>
                </o:OLEObject>
              </w:object>
            </w:r>
          </w:p>
        </w:tc>
        <w:tc>
          <w:tcPr>
            <w:tcW w:w="1271" w:type="dxa"/>
            <w:vAlign w:val="center"/>
          </w:tcPr>
          <w:p w14:paraId="384A9098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7</w:t>
            </w:r>
          </w:p>
        </w:tc>
        <w:tc>
          <w:tcPr>
            <w:tcW w:w="3691" w:type="dxa"/>
            <w:noWrap/>
            <w:vAlign w:val="center"/>
          </w:tcPr>
          <w:p w14:paraId="1F99E7B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标准铂铑10-铂热电偶重复测量引入的不确定度</w:t>
            </w:r>
          </w:p>
        </w:tc>
        <w:tc>
          <w:tcPr>
            <w:tcW w:w="1209" w:type="dxa"/>
            <w:vAlign w:val="center"/>
          </w:tcPr>
          <w:p w14:paraId="6E5A4E49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0.125μV</w:t>
            </w:r>
          </w:p>
        </w:tc>
        <w:tc>
          <w:tcPr>
            <w:tcW w:w="931" w:type="dxa"/>
            <w:vMerge w:val="restart"/>
            <w:vAlign w:val="center"/>
          </w:tcPr>
          <w:p w14:paraId="197A3052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0.07℃</w:t>
            </w:r>
          </w:p>
        </w:tc>
      </w:tr>
      <w:tr w14:paraId="68CD7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1" w:type="dxa"/>
            <w:vMerge w:val="continue"/>
            <w:vAlign w:val="center"/>
          </w:tcPr>
          <w:p w14:paraId="31D5FBD2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792A78BC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8</w:t>
            </w:r>
          </w:p>
        </w:tc>
        <w:tc>
          <w:tcPr>
            <w:tcW w:w="3691" w:type="dxa"/>
            <w:noWrap/>
            <w:vAlign w:val="center"/>
          </w:tcPr>
          <w:p w14:paraId="6D66AF2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电测仪表测量误差引入的不确定度</w:t>
            </w:r>
          </w:p>
        </w:tc>
        <w:tc>
          <w:tcPr>
            <w:tcW w:w="1209" w:type="dxa"/>
            <w:vAlign w:val="center"/>
          </w:tcPr>
          <w:p w14:paraId="1759F92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0.722μV</w:t>
            </w:r>
          </w:p>
        </w:tc>
        <w:tc>
          <w:tcPr>
            <w:tcW w:w="931" w:type="dxa"/>
            <w:vMerge w:val="continue"/>
            <w:vAlign w:val="center"/>
          </w:tcPr>
          <w:p w14:paraId="71B93259">
            <w:pPr>
              <w:widowControl/>
              <w:jc w:val="center"/>
              <w:rPr>
                <w:szCs w:val="21"/>
              </w:rPr>
            </w:pPr>
          </w:p>
        </w:tc>
      </w:tr>
      <w:tr w14:paraId="105BA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1" w:type="dxa"/>
            <w:vMerge w:val="continue"/>
            <w:vAlign w:val="center"/>
          </w:tcPr>
          <w:p w14:paraId="2E19817B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238921DA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9</w:t>
            </w:r>
          </w:p>
        </w:tc>
        <w:tc>
          <w:tcPr>
            <w:tcW w:w="3691" w:type="dxa"/>
            <w:noWrap/>
            <w:vAlign w:val="center"/>
          </w:tcPr>
          <w:p w14:paraId="5EE47DB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转换开关读数寄生热电势引入的不确定度</w:t>
            </w:r>
          </w:p>
        </w:tc>
        <w:tc>
          <w:tcPr>
            <w:tcW w:w="1209" w:type="dxa"/>
            <w:vAlign w:val="center"/>
          </w:tcPr>
          <w:p w14:paraId="7EB6AC70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0.289μV</w:t>
            </w:r>
          </w:p>
        </w:tc>
        <w:tc>
          <w:tcPr>
            <w:tcW w:w="931" w:type="dxa"/>
            <w:vMerge w:val="continue"/>
            <w:vAlign w:val="center"/>
          </w:tcPr>
          <w:p w14:paraId="41024D48">
            <w:pPr>
              <w:widowControl/>
              <w:jc w:val="center"/>
              <w:rPr>
                <w:szCs w:val="21"/>
              </w:rPr>
            </w:pPr>
          </w:p>
        </w:tc>
      </w:tr>
      <w:tr w14:paraId="2A557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1" w:type="dxa"/>
            <w:vMerge w:val="continue"/>
            <w:vAlign w:val="center"/>
          </w:tcPr>
          <w:p w14:paraId="26662B8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38A034A8">
            <w:pPr>
              <w:widowControl/>
              <w:jc w:val="center"/>
              <w:rPr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10</w:t>
            </w:r>
          </w:p>
        </w:tc>
        <w:tc>
          <w:tcPr>
            <w:tcW w:w="3691" w:type="dxa"/>
            <w:noWrap/>
            <w:vAlign w:val="center"/>
          </w:tcPr>
          <w:p w14:paraId="7510D25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热电偶参考端温度不均匀引入的不确定度</w:t>
            </w:r>
          </w:p>
        </w:tc>
        <w:tc>
          <w:tcPr>
            <w:tcW w:w="1209" w:type="dxa"/>
            <w:vAlign w:val="center"/>
          </w:tcPr>
          <w:p w14:paraId="216348FA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0.156μV</w:t>
            </w:r>
          </w:p>
        </w:tc>
        <w:tc>
          <w:tcPr>
            <w:tcW w:w="931" w:type="dxa"/>
            <w:vMerge w:val="continue"/>
            <w:vAlign w:val="center"/>
          </w:tcPr>
          <w:p w14:paraId="78F356CA">
            <w:pPr>
              <w:widowControl/>
              <w:jc w:val="center"/>
              <w:rPr>
                <w:szCs w:val="21"/>
              </w:rPr>
            </w:pPr>
          </w:p>
        </w:tc>
      </w:tr>
    </w:tbl>
    <w:p w14:paraId="2BD71823">
      <w:pPr>
        <w:spacing w:line="360" w:lineRule="auto"/>
        <w:rPr>
          <w:sz w:val="24"/>
        </w:rPr>
      </w:pPr>
      <w:r>
        <w:rPr>
          <w:sz w:val="24"/>
        </w:rPr>
        <w:t>则：</w:t>
      </w:r>
    </w:p>
    <w:p w14:paraId="75C5C2FD">
      <w:pPr>
        <w:spacing w:line="360" w:lineRule="auto"/>
        <w:jc w:val="center"/>
        <w:rPr>
          <w:sz w:val="24"/>
        </w:rPr>
      </w:pPr>
      <w:r>
        <w:rPr>
          <w:position w:val="-20"/>
        </w:rPr>
        <w:object>
          <v:shape id="_x0000_i1087" o:spt="75" type="#_x0000_t75" style="height:30pt;width:25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3">
            <o:LockedField>false</o:LockedField>
          </o:OLEObject>
        </w:object>
      </w:r>
      <w:r>
        <w:rPr>
          <w:sz w:val="24"/>
        </w:rPr>
        <w:t>0.33℃</w:t>
      </w:r>
    </w:p>
    <w:p w14:paraId="3ED660AB">
      <w:pPr>
        <w:spacing w:line="288" w:lineRule="auto"/>
        <w:rPr>
          <w:sz w:val="24"/>
        </w:rPr>
      </w:pPr>
      <w:r>
        <w:rPr>
          <w:sz w:val="24"/>
        </w:rPr>
        <w:t>5 扩展不确定度</w:t>
      </w:r>
    </w:p>
    <w:p w14:paraId="4147443B">
      <w:pPr>
        <w:spacing w:line="360" w:lineRule="auto"/>
        <w:ind w:firstLine="480" w:firstLineChars="200"/>
        <w:rPr>
          <w:sz w:val="24"/>
          <w:szCs w:val="20"/>
        </w:rPr>
      </w:pPr>
      <w:r>
        <w:rPr>
          <w:sz w:val="24"/>
          <w:szCs w:val="20"/>
        </w:rPr>
        <w:t>取</w:t>
      </w:r>
      <w:r>
        <w:rPr>
          <w:i/>
          <w:sz w:val="24"/>
          <w:szCs w:val="20"/>
        </w:rPr>
        <w:t>k</w:t>
      </w:r>
      <w:r>
        <w:rPr>
          <w:sz w:val="24"/>
          <w:szCs w:val="20"/>
        </w:rPr>
        <w:t>=2，</w:t>
      </w:r>
      <w:r>
        <w:rPr>
          <w:spacing w:val="4"/>
          <w:sz w:val="24"/>
          <w:szCs w:val="20"/>
        </w:rPr>
        <w:t>则</w:t>
      </w:r>
      <w:r>
        <w:rPr>
          <w:sz w:val="24"/>
          <w:szCs w:val="20"/>
        </w:rPr>
        <w:t>扩展不确定度评定为：</w:t>
      </w:r>
    </w:p>
    <w:p w14:paraId="6611698B">
      <w:pPr>
        <w:spacing w:line="300" w:lineRule="auto"/>
        <w:jc w:val="center"/>
        <w:rPr>
          <w:sz w:val="24"/>
        </w:rPr>
      </w:pPr>
      <w:r>
        <w:rPr>
          <w:position w:val="-12"/>
          <w:sz w:val="24"/>
        </w:rPr>
        <w:object>
          <v:shape id="_x0000_i1088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5">
            <o:LockedField>false</o:LockedField>
          </o:OLEObject>
        </w:object>
      </w:r>
      <w:r>
        <w:rPr>
          <w:sz w:val="24"/>
        </w:rPr>
        <w:t>0.7℃（</w:t>
      </w:r>
      <w:r>
        <w:rPr>
          <w:i/>
          <w:iCs/>
          <w:sz w:val="24"/>
        </w:rPr>
        <w:t>k</w:t>
      </w:r>
      <w:r>
        <w:rPr>
          <w:sz w:val="24"/>
        </w:rPr>
        <w:t>=2）</w:t>
      </w:r>
    </w:p>
    <w:p w14:paraId="4FC81E1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860"/>
    <w:rsid w:val="00352432"/>
    <w:rsid w:val="00362860"/>
    <w:rsid w:val="00AF1F15"/>
    <w:rsid w:val="00B431A5"/>
    <w:rsid w:val="00C45A57"/>
    <w:rsid w:val="00D76B95"/>
    <w:rsid w:val="00EC15F7"/>
    <w:rsid w:val="3C03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  <w:style w:type="paragraph" w:customStyle="1" w:styleId="37">
    <w:name w:val="MTDisplayEquation"/>
    <w:basedOn w:val="1"/>
    <w:next w:val="1"/>
    <w:link w:val="38"/>
    <w:uiPriority w:val="0"/>
    <w:pPr>
      <w:tabs>
        <w:tab w:val="center" w:pos="4680"/>
        <w:tab w:val="right" w:pos="9360"/>
      </w:tabs>
      <w:snapToGrid w:val="0"/>
      <w:spacing w:line="360" w:lineRule="auto"/>
      <w:jc w:val="center"/>
    </w:pPr>
    <w:rPr>
      <w:sz w:val="18"/>
      <w:szCs w:val="18"/>
    </w:rPr>
  </w:style>
  <w:style w:type="character" w:customStyle="1" w:styleId="38">
    <w:name w:val="MTDisplayEquation Char"/>
    <w:link w:val="37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3.bin"/><Relationship Id="rId98" Type="http://schemas.openxmlformats.org/officeDocument/2006/relationships/oleObject" Target="embeddings/oleObject52.bin"/><Relationship Id="rId97" Type="http://schemas.openxmlformats.org/officeDocument/2006/relationships/oleObject" Target="embeddings/oleObject51.bin"/><Relationship Id="rId96" Type="http://schemas.openxmlformats.org/officeDocument/2006/relationships/image" Target="media/image43.wmf"/><Relationship Id="rId95" Type="http://schemas.openxmlformats.org/officeDocument/2006/relationships/oleObject" Target="embeddings/oleObject50.bin"/><Relationship Id="rId94" Type="http://schemas.openxmlformats.org/officeDocument/2006/relationships/oleObject" Target="embeddings/oleObject49.bin"/><Relationship Id="rId93" Type="http://schemas.openxmlformats.org/officeDocument/2006/relationships/oleObject" Target="embeddings/oleObject48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1.wmf"/><Relationship Id="rId9" Type="http://schemas.openxmlformats.org/officeDocument/2006/relationships/image" Target="media/image3.wmf"/><Relationship Id="rId89" Type="http://schemas.openxmlformats.org/officeDocument/2006/relationships/oleObject" Target="embeddings/oleObject46.bin"/><Relationship Id="rId88" Type="http://schemas.openxmlformats.org/officeDocument/2006/relationships/oleObject" Target="embeddings/oleObject45.bin"/><Relationship Id="rId87" Type="http://schemas.openxmlformats.org/officeDocument/2006/relationships/oleObject" Target="embeddings/oleObject44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oleObject" Target="embeddings/oleObject42.bin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7" Type="http://schemas.openxmlformats.org/officeDocument/2006/relationships/fontTable" Target="fontTable.xml"/><Relationship Id="rId116" Type="http://schemas.openxmlformats.org/officeDocument/2006/relationships/image" Target="media/image49.wmf"/><Relationship Id="rId115" Type="http://schemas.openxmlformats.org/officeDocument/2006/relationships/oleObject" Target="embeddings/oleObject64.bin"/><Relationship Id="rId114" Type="http://schemas.openxmlformats.org/officeDocument/2006/relationships/image" Target="media/image48.wmf"/><Relationship Id="rId113" Type="http://schemas.openxmlformats.org/officeDocument/2006/relationships/oleObject" Target="embeddings/oleObject63.bin"/><Relationship Id="rId112" Type="http://schemas.openxmlformats.org/officeDocument/2006/relationships/oleObject" Target="embeddings/oleObject62.bin"/><Relationship Id="rId111" Type="http://schemas.openxmlformats.org/officeDocument/2006/relationships/oleObject" Target="embeddings/oleObject61.bin"/><Relationship Id="rId110" Type="http://schemas.openxmlformats.org/officeDocument/2006/relationships/oleObject" Target="embeddings/oleObject60.bin"/><Relationship Id="rId11" Type="http://schemas.openxmlformats.org/officeDocument/2006/relationships/image" Target="media/image4.wmf"/><Relationship Id="rId109" Type="http://schemas.openxmlformats.org/officeDocument/2006/relationships/image" Target="media/image47.wmf"/><Relationship Id="rId108" Type="http://schemas.openxmlformats.org/officeDocument/2006/relationships/oleObject" Target="embeddings/oleObject59.bin"/><Relationship Id="rId107" Type="http://schemas.openxmlformats.org/officeDocument/2006/relationships/oleObject" Target="embeddings/oleObject58.bin"/><Relationship Id="rId106" Type="http://schemas.openxmlformats.org/officeDocument/2006/relationships/oleObject" Target="embeddings/oleObject57.bin"/><Relationship Id="rId105" Type="http://schemas.openxmlformats.org/officeDocument/2006/relationships/image" Target="media/image46.wmf"/><Relationship Id="rId104" Type="http://schemas.openxmlformats.org/officeDocument/2006/relationships/oleObject" Target="embeddings/oleObject56.bin"/><Relationship Id="rId103" Type="http://schemas.openxmlformats.org/officeDocument/2006/relationships/image" Target="media/image45.wmf"/><Relationship Id="rId102" Type="http://schemas.openxmlformats.org/officeDocument/2006/relationships/oleObject" Target="embeddings/oleObject55.bin"/><Relationship Id="rId101" Type="http://schemas.openxmlformats.org/officeDocument/2006/relationships/image" Target="media/image44.wmf"/><Relationship Id="rId100" Type="http://schemas.openxmlformats.org/officeDocument/2006/relationships/oleObject" Target="embeddings/oleObject54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2088</Words>
  <Characters>2622</Characters>
  <Lines>291</Lines>
  <Paragraphs>283</Paragraphs>
  <TotalTime>1</TotalTime>
  <ScaleCrop>false</ScaleCrop>
  <LinksUpToDate>false</LinksUpToDate>
  <CharactersWithSpaces>2817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2026-05-14T08:44:00Z</dcterms:created>
  <dc:creator>xiaoting xiao</dc:creator>
  <cp:lastModifiedBy>燃烧的岁月</cp:lastModifiedBy>
  <dcterms:modified xsi:type="dcterms:W3CDTF">2026-05-25T05:13:40Z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eyJoZGlkIjoiMGJiMzI3NzVmMDNmMGI4NjFmNjkxNzI5YzZlMTA0ZmYiLCJ1c2VySWQiOiIyMzY4MjYyMzMifQ==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CDE7CCF92411482F9CD6215BCED99ABA_12</vt:lpwstr>
  </property>
</Properties>
</file>